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8B8D9">
      <w:pPr>
        <w:pStyle w:val="2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52"/>
          <w:szCs w:val="52"/>
        </w:rPr>
        <w:t>第一天</w:t>
      </w:r>
    </w:p>
    <w:p w14:paraId="18778BBD">
      <w:pPr>
        <w:rPr>
          <w:rFonts w:hint="eastAsia" w:ascii="方正小标宋_GBK" w:hAnsi="方正小标宋_GBK" w:eastAsia="方正小标宋_GBK" w:cs="方正小标宋_GBK"/>
          <w:sz w:val="24"/>
          <w:szCs w:val="24"/>
        </w:rPr>
        <w:sectPr>
          <w:type w:val="continuous"/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 w14:paraId="5619F4A9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我是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数昌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科技的董事长，今天由我来给大家分享。什么是数字资产？什么是消费宝？那么，数字资产的价值与消费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宝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的价值到底何在？今天我用20来分钟时间，给大家做一个分享。</w:t>
      </w:r>
    </w:p>
    <w:p w14:paraId="16001C89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72683DC0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那么其实数字资产和消费宝，它其实都是通证。那什么是通证？通证是从哪里来的呢？那么可能有些人已经明白了，有些人还不明白。那么数字资产也好，消费宝也好，他其实只是我们给他取的一个名字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可以用简单的一句话概括其实就是消费后的权益，那么这个权益是从哪里来的呢？就是你去商家消费了。</w:t>
      </w:r>
    </w:p>
    <w:p w14:paraId="5376BB42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商家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通过让利的方式去购买这个数字资产，然后销毁掉送给消费者。所以消费者就得了一个可信的消费数据。因为这一个消费数据是商家花了钱买过来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然后确权送给消费者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所以它是一个可信数据的资产我们叫它叫消费宝。</w:t>
      </w:r>
    </w:p>
    <w:p w14:paraId="630F4959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01D12D35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那数字资产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可以从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哪里来的呢？我们在这个数字通证里面消费者的消费权益呢，70%换成数字资产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30%换成消费宝。那么70%的数字资产呢？你每天所得到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都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可以去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到交易所出售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。我相信在群里面每一个企业家或者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数昌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的家人多多少少都有数字通证。那这个数字通证每天晚上到十二点零一，他就会通过分红的方式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给大家分数字资产和给大家分消费宝。</w:t>
      </w:r>
    </w:p>
    <w:p w14:paraId="6BF879E6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25B88C56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那么其实这个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行为目前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如果用分红两个字讲，我觉得还不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恰当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它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其实是一种增值的方式。也就是说今天的数字资产它增值了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涨价了，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打个比方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数字资产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涨了两毛多，这个增值的部分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是通过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用数字资产和消费宝的方式发到你的账户里。所以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百分之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七十是数字资产让你可以去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交易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。另外的30%消费宝给你拿去再一次消费，推动消费，刺激消费，拉动内需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这个就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是我们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数字资产和消费宝的来源，那么数字资产和消费宝得到了以后，它有什么价值呢？这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权益，他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作为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通证是一个权益，但是这个通证的权益是恒定的。它20年就200000000个。而且它每天是递减式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，毕竟是分发给消费者的。那么，递减式分发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消费者得到以后就形成了一份消费过后的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确权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数据，那他20年就200000000个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它不会增加只有销毁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只有减少，那在这个过程中，你今天去吃饭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去理发了，或者你今天去买了茶或者是今天你去消费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买了酒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买了茶叶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买了不同其他的产品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那这个是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商家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或者企业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送给你的过程中就进行销毁掉了。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那么销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当天的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赠送给你的是第二天给，也就是过了十二点零一送给你的，那这样子的话呢？随着不断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地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消费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资产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不断地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的销毁。资产的存量会越来越少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越来越少。</w:t>
      </w:r>
    </w:p>
    <w:p w14:paraId="3563C6C3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5A6F999F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6FE7DD33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一旦资产越来越少，通过数字化转型应用的场景或者是企业和厂家对数字资产的需求量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越来越大。那么，随着这一个需求量的增加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,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随着数字资产的存量在减少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它的价格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只能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逐步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地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根据市场的需求上涨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,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所以有些人问他为什么只涨不跌，为什么他只有涨不会跌呢？有些人觉得很奇怪。</w:t>
      </w:r>
    </w:p>
    <w:p w14:paraId="5972E8C2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所以这就是我们数字资产和消费宝的价值。因为我们里面有几套机制。其中有一套机制，里面定了一个叫回收站。那么，回收站是什么意思呢？也就是说，今天根据链上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分发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出来的资产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的资产举例是两万个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那么今天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如果全市场都没有一个人用数字消费去消费。那说明今天就没有新的数据产生，也没有新的消费，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当然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没有新的销毁。那么，这个数据到了11点，到了晚上11点和12点。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AI算力就会判定今天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没有销毁数字资产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也没有新增任何新的数据。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那分发地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两万个数字资产当天就会回到一个回收站的账户里去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不会进入市场流通，那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市场里面的数据是不是都保持了昨天的数字，因为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它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没有新增贡献值。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所以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没有新增销毁量。所以它今天就不涨。全部保持在昨天的数据，所以它不会跌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只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会保持在昨天的价格不会上涨。</w:t>
      </w:r>
    </w:p>
    <w:p w14:paraId="3D5B0AE2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只要有人消费，就会产生新数据，就会有资产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被销毁，数字资产就会通过算力算法实现增值。业绩规模越大，市场覆盖越广，应用场景越多，消费者、会员、入驻商家和企业的数量越增长，数字资产的价格就会随着市场应用规模和销毁数量不断上涨。</w:t>
      </w:r>
    </w:p>
    <w:p w14:paraId="4FCE053E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这个就是消费者消费后能获得的权益，所以无论是数字资产还是消费宝，每一份数据本质都是一份资产，你既可以称它为数字资产，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也可以叫它数据资产。等后续监管沙盒推出后，我们就会将它正式更名为数据资产，也就是消费者通过消费获得消费权益对应的资产。</w:t>
      </w:r>
    </w:p>
    <w:p w14:paraId="4DC1293E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02CDE76E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数字资产可以兑换后，在国有交易平台青岛文化产权交易中心进行交易。消费宝其实和数字资产是同价值的，只是名称不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同，可以像现金券、红包一样，在我们系统对接的各个平台或商家进行消费抵扣。</w:t>
      </w:r>
    </w:p>
    <w:p w14:paraId="6A083173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举个例子，去年下半年消费的用户，他们获得的数据资产经过增值，通过70%的资产兑现，加上30%消费宝对应的增值，早已经把当初消费花出去的钱全部赚回来了。因此，在我们这套数产融，也就是数字经济、数字产业数字金融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生态里，可以让消费者获得消费数据对应的权益增值：它既不是积分，也不是空头权益，更不是泡沫。随着市场规模逐步扩大、消费者持续参与使用，数字资产和消费宝的价值就会越来越高。</w:t>
      </w:r>
    </w:p>
    <w:p w14:paraId="65AD6D9E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</w:p>
    <w:p w14:paraId="548F8C91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经常有人问我，这个数字资产到底能涨到什么程度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？一年能涨多少？我其实也不清楚，我只确定一点：只要有消费，它就会上涨，具体涨幅由市场决定——使用的人越多，应用场景越丰富，它的价值就越高。</w:t>
      </w:r>
    </w:p>
    <w:p w14:paraId="2C068DF9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4562FEBE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还有人会问，它会不会涨到一定程度就停止上涨了？答案是不会，原因很简单：只要有新消费，就会持续上涨。现在已经有大量企业和商家在通过数字化转型，给消费者赠送消费权益，这件事不会停止：不管是本地生活、智慧商圈还是数字消费街区，普通老百姓只要体验过，都会喜欢这种在数字化转型门店消费，就能获得红包、消费宝赠送的模式，愿意持续参与。因此，消费宝和数字资产会一直流通，持续产生销毁，使用者也会不断增加，二者的价值也会在数字经济、数字消费领域持续为大家创造收益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</w:p>
    <w:p w14:paraId="7E05E5A5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今天的分享就到这里，感谢大家。</w:t>
      </w:r>
    </w:p>
    <w:p w14:paraId="20F544A8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355FEEF4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6E697A6F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drawing>
          <wp:inline distT="0" distB="0" distL="114300" distR="114300">
            <wp:extent cx="4085590" cy="8855075"/>
            <wp:effectExtent l="0" t="0" r="3810" b="9525"/>
            <wp:docPr id="1" name="图片 1" descr="805351e486998d73d398944494a9f0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5351e486998d73d398944494a9f0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559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type w:val="continuous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D167C3C-B185-4D8B-B12F-E192BCAD73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255A36EB"/>
    <w:rsid w:val="7C290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left"/>
    </w:pPr>
    <w:rPr>
      <w:rFonts w:ascii="宋体" w:hAnsi="宋体" w:eastAsia="宋体" w:cs="宋体"/>
      <w:color w:val="000000"/>
    </w:rPr>
  </w:style>
  <w:style w:type="paragraph" w:styleId="2">
    <w:name w:val="heading 1"/>
    <w:basedOn w:val="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basedOn w:val="1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basedOn w:val="1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basedOn w:val="1"/>
    <w:next w:val="1"/>
    <w:qFormat/>
    <w:uiPriority w:val="0"/>
    <w:rPr>
      <w:i/>
      <w:iCs/>
      <w:color w:val="2E74B5"/>
    </w:rPr>
  </w:style>
  <w:style w:type="paragraph" w:styleId="6">
    <w:name w:val="heading 5"/>
    <w:basedOn w:val="1"/>
    <w:next w:val="1"/>
    <w:qFormat/>
    <w:uiPriority w:val="0"/>
    <w:rPr>
      <w:color w:val="2E74B5"/>
    </w:rPr>
  </w:style>
  <w:style w:type="paragraph" w:styleId="7">
    <w:name w:val="heading 6"/>
    <w:basedOn w:val="1"/>
    <w:next w:val="1"/>
    <w:qFormat/>
    <w:uiPriority w:val="0"/>
    <w:rPr>
      <w:color w:val="1F4D78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basedOn w:val="1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basedOn w:val="1"/>
    <w:next w:val="1"/>
    <w:qFormat/>
    <w:uiPriority w:val="0"/>
    <w:rPr>
      <w:sz w:val="56"/>
      <w:szCs w:val="56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basedOn w:val="1"/>
    <w:qFormat/>
    <w:uiPriority w:val="0"/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DefaultParagraphFont"/>
    <w:qFormat/>
    <w:uiPriority w:val="0"/>
    <w:pPr>
      <w:jc w:val="left"/>
    </w:pPr>
    <w:rPr>
      <w:rFonts w:ascii="宋体" w:hAnsi="宋体" w:eastAsia="宋体" w:cs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2227</Words>
  <Characters>2262</Characters>
  <TotalTime>2</TotalTime>
  <ScaleCrop>false</ScaleCrop>
  <LinksUpToDate>false</LinksUpToDate>
  <CharactersWithSpaces>2262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2026-06-01T06:22:00Z</dcterms:created>
  <dc:creator>Administrator</dc:creator>
  <cp:lastModifiedBy>Aziz</cp:lastModifiedBy>
  <dcterms:modified xsi:type="dcterms:W3CDTF">2026-06-01T10:01:52Z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eyJoZGlkIjoiZGE5NmUzMzU3YjRjZDdjNzZlMDhhNzNkODE1NzBjNmEiLCJ1c2VySWQiOiIxNTQ1NzkyNzI4In0=</vt:lpwstr>
  </property>
  <property fmtid="{D5CDD505-2E9C-101B-9397-08002B2CF9AE}" pid="3" name="KSOProductBuildVer">
    <vt:lpwstr>2052-12.1.0.25865</vt:lpwstr>
  </property>
  <property fmtid="{D5CDD505-2E9C-101B-9397-08002B2CF9AE}" pid="4" name="ICV">
    <vt:lpwstr>21B5DAC2413044C8BE95347A0BE26DB2_13</vt:lpwstr>
  </property>
</Properties>
</file>