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F66EEE">
      <w:pPr>
        <w:spacing w:before="480" w:after="480" w:line="288" w:lineRule="auto"/>
        <w:ind w:left="0"/>
        <w:rPr>
          <w:sz w:val="15"/>
          <w:szCs w:val="16"/>
        </w:rPr>
      </w:pPr>
      <w:r>
        <w:rPr>
          <w:rFonts w:ascii="Arial" w:hAnsi="Arial" w:eastAsia="等线" w:cs="Arial"/>
          <w:b/>
          <w:sz w:val="36"/>
          <w:szCs w:val="16"/>
        </w:rPr>
        <w:t>浙江数昌科技有限公司商学院运营管理办法</w:t>
      </w:r>
    </w:p>
    <w:p w14:paraId="4EF3A76F">
      <w:pPr>
        <w:spacing w:before="120" w:after="120" w:line="288" w:lineRule="auto"/>
        <w:ind w:left="0"/>
        <w:jc w:val="left"/>
        <w:rPr>
          <w:b/>
          <w:bCs/>
        </w:rPr>
      </w:pPr>
      <w:r>
        <w:rPr>
          <w:rFonts w:ascii="Arial" w:hAnsi="Arial" w:eastAsia="等线" w:cs="Arial"/>
          <w:b/>
          <w:bCs/>
          <w:sz w:val="22"/>
        </w:rPr>
        <w:t>第一章 总则</w:t>
      </w:r>
    </w:p>
    <w:p w14:paraId="5C2DAD42">
      <w:pPr>
        <w:spacing w:before="120" w:after="120" w:line="288" w:lineRule="auto"/>
        <w:ind w:left="0"/>
        <w:jc w:val="left"/>
      </w:pPr>
      <w:r>
        <w:rPr>
          <w:rFonts w:ascii="Arial" w:hAnsi="Arial" w:eastAsia="等线" w:cs="Arial"/>
          <w:sz w:val="22"/>
        </w:rPr>
        <w:t>第一条 为规范浙江数昌科技有限公司（以下简称“公司”）商学院日常运营管理工作，明确商学院工作职责、准入退出规则及权益标准，充分发挥商学院培训赋能、市场帮扶、会务支撑、招商辅助的核心作用，助力公司市场业务稳健发展、团队标准化建设，保障各项工作有序落地、有章可循，特制定本管理办法。</w:t>
      </w:r>
    </w:p>
    <w:p w14:paraId="3E034E6B">
      <w:pPr>
        <w:spacing w:before="120" w:after="120" w:line="288" w:lineRule="auto"/>
        <w:ind w:left="0"/>
        <w:jc w:val="left"/>
      </w:pPr>
      <w:r>
        <w:rPr>
          <w:rFonts w:ascii="Arial" w:hAnsi="Arial" w:eastAsia="等线" w:cs="Arial"/>
          <w:sz w:val="22"/>
        </w:rPr>
        <w:t>第二条 本办法适用于公司商学院全体在岗工作人员，商学院所有日常运营、培训、市场服务、招商辅助及人员管理相关工作，均遵照本办法执行。</w:t>
      </w:r>
    </w:p>
    <w:p w14:paraId="3CE980C9">
      <w:pPr>
        <w:spacing w:before="120" w:after="120" w:line="288" w:lineRule="auto"/>
        <w:ind w:left="0"/>
        <w:jc w:val="left"/>
      </w:pPr>
      <w:r>
        <w:rPr>
          <w:rFonts w:ascii="Arial" w:hAnsi="Arial" w:eastAsia="等线" w:cs="Arial"/>
          <w:sz w:val="22"/>
        </w:rPr>
        <w:t>第三条 商学院核心定位：聚焦市场团队赋能，负责市场业务培训、一线市场陪跑帮扶、协助会务组落地公司月度市场会议，全面助力公司市场体系搭建、业绩提升与团队长效发展。</w:t>
      </w:r>
    </w:p>
    <w:p w14:paraId="4E57C733">
      <w:pPr>
        <w:spacing w:before="120" w:after="120" w:line="288" w:lineRule="auto"/>
        <w:ind w:left="0"/>
        <w:jc w:val="left"/>
        <w:rPr>
          <w:b/>
          <w:bCs/>
        </w:rPr>
      </w:pPr>
      <w:r>
        <w:rPr>
          <w:rFonts w:ascii="Arial" w:hAnsi="Arial" w:eastAsia="等线" w:cs="Arial"/>
          <w:b/>
          <w:bCs/>
          <w:sz w:val="22"/>
        </w:rPr>
        <w:t>第二章 商学院核心工作职责</w:t>
      </w:r>
    </w:p>
    <w:p w14:paraId="570A8665">
      <w:pPr>
        <w:spacing w:before="120" w:after="120" w:line="288" w:lineRule="auto"/>
        <w:ind w:left="0"/>
        <w:jc w:val="left"/>
      </w:pPr>
      <w:r>
        <w:rPr>
          <w:rFonts w:ascii="Arial" w:hAnsi="Arial" w:eastAsia="等线" w:cs="Arial"/>
          <w:sz w:val="22"/>
        </w:rPr>
        <w:t>第四条 市场团队运营规划管理</w:t>
      </w:r>
    </w:p>
    <w:p w14:paraId="68E812B1">
      <w:pPr>
        <w:spacing w:before="120" w:after="120" w:line="288" w:lineRule="auto"/>
        <w:ind w:left="0"/>
        <w:jc w:val="left"/>
      </w:pPr>
      <w:r>
        <w:rPr>
          <w:rFonts w:ascii="Arial" w:hAnsi="Arial" w:eastAsia="等线" w:cs="Arial"/>
          <w:sz w:val="22"/>
        </w:rPr>
        <w:t>1、运营目标规划与落地跟踪</w:t>
      </w:r>
    </w:p>
    <w:p w14:paraId="2ADD614D">
      <w:pPr>
        <w:spacing w:before="120" w:after="120" w:line="288" w:lineRule="auto"/>
        <w:ind w:left="0"/>
        <w:jc w:val="left"/>
      </w:pPr>
      <w:r>
        <w:rPr>
          <w:rFonts w:ascii="Arial" w:hAnsi="Arial" w:eastAsia="等线" w:cs="Arial"/>
          <w:sz w:val="22"/>
        </w:rPr>
        <w:t>（1）业绩目标：根据公司整体战略及年度、季度、月度经营指标，完成市场整体业绩目标拆解、各团队业绩分配，全程跟踪各市场团队目标落地进度，统计落地数据、梳理落地问题，形成常态化跟踪复盘机制。</w:t>
      </w:r>
    </w:p>
    <w:p w14:paraId="3A48078F">
      <w:pPr>
        <w:spacing w:before="120" w:after="120" w:line="288" w:lineRule="auto"/>
        <w:ind w:left="0"/>
        <w:jc w:val="left"/>
      </w:pPr>
      <w:r>
        <w:rPr>
          <w:rFonts w:ascii="Arial" w:hAnsi="Arial" w:eastAsia="等线" w:cs="Arial"/>
          <w:sz w:val="22"/>
        </w:rPr>
        <w:t>（2）团队发展目标：结合公司市场扩张规划，制定市场团队人员扩容、能力提升、梯队建设等发展目标，完成目标拆解与落地推进，定期核查团队建设成果，保障市场团队稳定发展。</w:t>
      </w:r>
    </w:p>
    <w:p w14:paraId="1C01BE9A">
      <w:pPr>
        <w:spacing w:before="120" w:after="120" w:line="288" w:lineRule="auto"/>
        <w:ind w:left="0"/>
        <w:jc w:val="left"/>
      </w:pPr>
      <w:r>
        <w:rPr>
          <w:rFonts w:ascii="Arial" w:hAnsi="Arial" w:eastAsia="等线" w:cs="Arial"/>
          <w:sz w:val="22"/>
        </w:rPr>
        <w:t>2、标准化会议管理</w:t>
      </w:r>
    </w:p>
    <w:p w14:paraId="3A795185">
      <w:pPr>
        <w:spacing w:before="120" w:after="120" w:line="288" w:lineRule="auto"/>
        <w:ind w:left="0"/>
        <w:jc w:val="left"/>
      </w:pPr>
      <w:r>
        <w:rPr>
          <w:rFonts w:ascii="Arial" w:hAnsi="Arial" w:eastAsia="等线" w:cs="Arial"/>
          <w:sz w:val="22"/>
        </w:rPr>
        <w:t>建立周、月常态化会议机制，通过会议复盘总结、任务部署、问题攻坚，保障市场工作高效推进，具体安排如下：</w:t>
      </w:r>
    </w:p>
    <w:p w14:paraId="1695F865">
      <w:pPr>
        <w:spacing w:before="120" w:after="120" w:line="288" w:lineRule="auto"/>
        <w:ind w:left="0"/>
        <w:jc w:val="left"/>
      </w:pPr>
      <w:r>
        <w:rPr>
          <w:rFonts w:ascii="Arial" w:hAnsi="Arial" w:eastAsia="等线" w:cs="Arial"/>
          <w:sz w:val="22"/>
        </w:rPr>
        <w:t>（1）周例会：复盘上周工作目标完成情况，通报各团队工作成果；明确下周工作目标、拆解工作任务、下达执行要求；剖析市场一线优秀案例，组织全员学习借鉴；集中研讨本周市场工作中出现的共性问题，统一解决方案与应对标准；对本周表现优异的个人及团队进行公开表彰。</w:t>
      </w:r>
    </w:p>
    <w:p w14:paraId="56F5D2D2">
      <w:pPr>
        <w:spacing w:before="120" w:after="120" w:line="288" w:lineRule="auto"/>
        <w:ind w:left="0"/>
        <w:jc w:val="left"/>
      </w:pPr>
      <w:r>
        <w:rPr>
          <w:rFonts w:ascii="Arial" w:hAnsi="Arial" w:eastAsia="等线" w:cs="Arial"/>
          <w:sz w:val="22"/>
        </w:rPr>
        <w:t>（2）月总结会：全面复盘当月整体业绩、团队建设、工作任务完成情况；结合公司年度目标进度，跟进年度指标完成进度；规划下月工作目标、细化任务分工、明确考核标准；深度拆解月度优秀实战案例，推广可复制经验；表彰月度优秀个人与标杆团队。</w:t>
      </w:r>
    </w:p>
    <w:p w14:paraId="6ED07E00">
      <w:pPr>
        <w:spacing w:before="120" w:after="120" w:line="288" w:lineRule="auto"/>
        <w:ind w:left="0"/>
        <w:jc w:val="left"/>
      </w:pPr>
      <w:r>
        <w:rPr>
          <w:rFonts w:ascii="Arial" w:hAnsi="Arial" w:eastAsia="等线" w:cs="Arial"/>
          <w:sz w:val="22"/>
        </w:rPr>
        <w:t>（3）会议形式：线上会议统一使用腾讯会议开展；线下会议固定在公司数昌科技会议室开展，严格落实会议考勤、会议记录、决议落地跟踪工作。</w:t>
      </w:r>
    </w:p>
    <w:p w14:paraId="0F9F9747">
      <w:pPr>
        <w:spacing w:before="120" w:after="120" w:line="288" w:lineRule="auto"/>
        <w:ind w:left="0"/>
        <w:jc w:val="left"/>
      </w:pPr>
      <w:r>
        <w:rPr>
          <w:rFonts w:ascii="Arial" w:hAnsi="Arial" w:eastAsia="等线" w:cs="Arial"/>
          <w:sz w:val="22"/>
        </w:rPr>
        <w:t>第五条 系统化培训赋能工作</w:t>
      </w:r>
    </w:p>
    <w:p w14:paraId="225A311D">
      <w:pPr>
        <w:spacing w:before="120" w:after="120" w:line="288" w:lineRule="auto"/>
        <w:ind w:left="0"/>
        <w:jc w:val="left"/>
      </w:pPr>
      <w:r>
        <w:rPr>
          <w:rFonts w:ascii="Arial" w:hAnsi="Arial" w:eastAsia="等线" w:cs="Arial"/>
          <w:sz w:val="22"/>
        </w:rPr>
        <w:t>1、培训核心内容</w:t>
      </w:r>
    </w:p>
    <w:p w14:paraId="6D15A2E6">
      <w:pPr>
        <w:spacing w:before="120" w:after="120" w:line="288" w:lineRule="auto"/>
        <w:ind w:left="0"/>
        <w:jc w:val="left"/>
      </w:pPr>
      <w:r>
        <w:rPr>
          <w:rFonts w:ascii="Arial" w:hAnsi="Arial" w:eastAsia="等线" w:cs="Arial"/>
          <w:sz w:val="22"/>
        </w:rPr>
        <w:t>围绕市场业务全流程搭建标准化培训体系，培训内容涵盖公司标准化课件培训、业务实操细节培训、团队凝聚力与团队建设培训、市场沟通实操话术培训、市场常见特殊问题疑难解决方法培训，全方位提升市场团队专业能力与实战水平。</w:t>
      </w:r>
    </w:p>
    <w:p w14:paraId="1AC2FCA4">
      <w:pPr>
        <w:spacing w:before="120" w:after="120" w:line="288" w:lineRule="auto"/>
        <w:ind w:left="0"/>
        <w:jc w:val="left"/>
      </w:pPr>
      <w:r>
        <w:rPr>
          <w:rFonts w:ascii="Arial" w:hAnsi="Arial" w:eastAsia="等线" w:cs="Arial"/>
          <w:sz w:val="22"/>
        </w:rPr>
        <w:t>2、常态化总部培训</w:t>
      </w:r>
    </w:p>
    <w:p w14:paraId="0767FD31">
      <w:pPr>
        <w:spacing w:before="120" w:after="120" w:line="288" w:lineRule="auto"/>
        <w:ind w:left="0"/>
        <w:jc w:val="left"/>
      </w:pPr>
      <w:r>
        <w:rPr>
          <w:rFonts w:ascii="Arial" w:hAnsi="Arial" w:eastAsia="等线" w:cs="Arial"/>
          <w:sz w:val="22"/>
        </w:rPr>
        <w:t>每周组织总公司统一培训，核心内容包含招商体系专项培训、全流程业务实操培训，确保市场团队紧跟公司业务标准，统一业务打法、统一服务流程。</w:t>
      </w:r>
    </w:p>
    <w:p w14:paraId="009894A4">
      <w:pPr>
        <w:spacing w:before="120" w:after="120" w:line="288" w:lineRule="auto"/>
        <w:ind w:left="0"/>
        <w:jc w:val="left"/>
      </w:pPr>
      <w:r>
        <w:rPr>
          <w:rFonts w:ascii="Arial" w:hAnsi="Arial" w:eastAsia="等线" w:cs="Arial"/>
          <w:sz w:val="22"/>
        </w:rPr>
        <w:t>3、分层培训对象</w:t>
      </w:r>
    </w:p>
    <w:p w14:paraId="5E3D26B0">
      <w:pPr>
        <w:spacing w:before="120" w:after="120" w:line="288" w:lineRule="auto"/>
        <w:ind w:left="0"/>
        <w:jc w:val="left"/>
      </w:pPr>
      <w:r>
        <w:rPr>
          <w:rFonts w:ascii="Arial" w:hAnsi="Arial" w:eastAsia="等线" w:cs="Arial"/>
          <w:sz w:val="22"/>
        </w:rPr>
        <w:t>实行分阶段分层培训机制，第一阶段：重点针对市场总裁及核心骨干团队开展专项培训，允许各市场总裁带领旗下市场伙伴一同参与总部集中培训；第二阶段：完成核心骨干赋能后，基层市场伙伴的常态化培训、内部赋能、技能复盘工作，由各市场总裁独立统筹负责，商学院负责监督落地、提供培训支撑。</w:t>
      </w:r>
    </w:p>
    <w:p w14:paraId="6F407E38">
      <w:pPr>
        <w:spacing w:before="120" w:after="120" w:line="288" w:lineRule="auto"/>
        <w:ind w:left="0"/>
        <w:jc w:val="left"/>
      </w:pPr>
      <w:r>
        <w:rPr>
          <w:rFonts w:ascii="Arial" w:hAnsi="Arial" w:eastAsia="等线" w:cs="Arial"/>
          <w:sz w:val="22"/>
        </w:rPr>
        <w:t>4、培训资料制作输出</w:t>
      </w:r>
    </w:p>
    <w:p w14:paraId="78608795">
      <w:pPr>
        <w:spacing w:before="120" w:after="120" w:line="288" w:lineRule="auto"/>
        <w:ind w:left="0"/>
        <w:jc w:val="left"/>
      </w:pPr>
      <w:r>
        <w:rPr>
          <w:rFonts w:ascii="Arial" w:hAnsi="Arial" w:eastAsia="等线" w:cs="Arial"/>
          <w:sz w:val="22"/>
        </w:rPr>
        <w:t>配合公司企划组，常态化制作、更新、优化各类培训物料，包含视频教学资料、图文教程资料、文字课件资料、宣传海报资料，保障培训内容与时俱进、培训物料充足规范。</w:t>
      </w:r>
    </w:p>
    <w:p w14:paraId="702D0EF4">
      <w:pPr>
        <w:spacing w:before="120" w:after="120" w:line="288" w:lineRule="auto"/>
        <w:ind w:left="0"/>
        <w:jc w:val="left"/>
      </w:pPr>
      <w:r>
        <w:rPr>
          <w:rFonts w:ascii="Arial" w:hAnsi="Arial" w:eastAsia="等线" w:cs="Arial"/>
          <w:sz w:val="22"/>
        </w:rPr>
        <w:t>第六条 招商工作辅助支撑</w:t>
      </w:r>
    </w:p>
    <w:p w14:paraId="1D3E73D9">
      <w:pPr>
        <w:spacing w:before="120" w:after="120" w:line="288" w:lineRule="auto"/>
        <w:ind w:left="0"/>
        <w:jc w:val="left"/>
      </w:pPr>
      <w:r>
        <w:rPr>
          <w:rFonts w:ascii="Arial" w:hAnsi="Arial" w:eastAsia="等线" w:cs="Arial"/>
          <w:sz w:val="22"/>
        </w:rPr>
        <w:t>1、线下招商会运营：常态化统计线下招商会报名人数、实际参与人数，根据市场参与热度及客户储备情况，合理调整线下招商会举办频率，保障招商会高效落地、精准获客。</w:t>
      </w:r>
    </w:p>
    <w:p w14:paraId="139B8A29">
      <w:pPr>
        <w:spacing w:before="120" w:after="120" w:line="288" w:lineRule="auto"/>
        <w:ind w:left="0"/>
        <w:jc w:val="left"/>
      </w:pPr>
      <w:r>
        <w:rPr>
          <w:rFonts w:ascii="Arial" w:hAnsi="Arial" w:eastAsia="等线" w:cs="Arial"/>
          <w:sz w:val="22"/>
        </w:rPr>
        <w:t>2、线上招商赋能：每日运营线上空中课堂，持续输出专业业务知识、项目优势、创业政策等内容，主动邀约意向客户、合作咨询人员参与听课，拓宽招商渠道、挖掘潜在客户，助力市场招商转化。</w:t>
      </w:r>
    </w:p>
    <w:p w14:paraId="463C333C">
      <w:pPr>
        <w:spacing w:before="120" w:after="120" w:line="288" w:lineRule="auto"/>
        <w:ind w:left="0"/>
        <w:jc w:val="left"/>
        <w:rPr>
          <w:b/>
          <w:bCs/>
        </w:rPr>
      </w:pPr>
      <w:r>
        <w:rPr>
          <w:rFonts w:ascii="Arial" w:hAnsi="Arial" w:eastAsia="等线" w:cs="Arial"/>
          <w:b/>
          <w:bCs/>
          <w:sz w:val="22"/>
        </w:rPr>
        <w:t>第三章 商学院人员准入与退出机制</w:t>
      </w:r>
    </w:p>
    <w:p w14:paraId="3CAA30F2">
      <w:pPr>
        <w:spacing w:before="120" w:after="120" w:line="288" w:lineRule="auto"/>
        <w:ind w:left="0"/>
        <w:jc w:val="left"/>
      </w:pPr>
      <w:r>
        <w:rPr>
          <w:rFonts w:ascii="Arial" w:hAnsi="Arial" w:eastAsia="等线" w:cs="Arial"/>
          <w:sz w:val="22"/>
        </w:rPr>
        <w:t>第七条 准入机制</w:t>
      </w:r>
    </w:p>
    <w:p w14:paraId="5505099B">
      <w:pPr>
        <w:spacing w:before="120" w:after="120" w:line="288" w:lineRule="auto"/>
        <w:ind w:left="0"/>
        <w:jc w:val="left"/>
      </w:pPr>
      <w:r>
        <w:rPr>
          <w:rFonts w:ascii="Arial" w:hAnsi="Arial" w:eastAsia="等线" w:cs="Arial"/>
          <w:sz w:val="22"/>
        </w:rPr>
        <w:t>申请加入商学院人员，需满足</w:t>
      </w:r>
      <w:r>
        <w:rPr>
          <w:rFonts w:ascii="Arial" w:hAnsi="Arial" w:eastAsia="等线" w:cs="Arial"/>
          <w:b/>
          <w:sz w:val="22"/>
        </w:rPr>
        <w:t>价值观与公司高度同步、具备创业思维、具备独立统筹工作能力、全职在岗全身心投入工作</w:t>
      </w:r>
      <w:r>
        <w:rPr>
          <w:rFonts w:ascii="Arial" w:hAnsi="Arial" w:eastAsia="等线" w:cs="Arial"/>
          <w:sz w:val="22"/>
        </w:rPr>
        <w:t>四大核心条件，经商学院院长及各市场总裁联合考核、评议通过后，方可正式加入商学院，参与商学院各项工作及权益分配。</w:t>
      </w:r>
    </w:p>
    <w:p w14:paraId="6CEC9589">
      <w:pPr>
        <w:spacing w:before="120" w:after="120" w:line="288" w:lineRule="auto"/>
        <w:ind w:left="0"/>
        <w:jc w:val="left"/>
      </w:pPr>
      <w:r>
        <w:rPr>
          <w:rFonts w:ascii="Arial" w:hAnsi="Arial" w:eastAsia="等线" w:cs="Arial"/>
          <w:sz w:val="22"/>
        </w:rPr>
        <w:t>第八条 退出机制</w:t>
      </w:r>
    </w:p>
    <w:p w14:paraId="2ADD602E">
      <w:pPr>
        <w:spacing w:before="120" w:after="120" w:line="288" w:lineRule="auto"/>
        <w:ind w:left="0"/>
        <w:jc w:val="left"/>
      </w:pPr>
      <w:r>
        <w:rPr>
          <w:rFonts w:ascii="Arial" w:hAnsi="Arial" w:eastAsia="等线" w:cs="Arial"/>
          <w:sz w:val="22"/>
        </w:rPr>
        <w:t>商学院成员出现以下任一情况，自动触发退出机制，经公司及商学院院长商议确认后，予以退出处理：</w:t>
      </w:r>
    </w:p>
    <w:p w14:paraId="560BE07E">
      <w:pPr>
        <w:spacing w:before="120" w:after="120" w:line="288" w:lineRule="auto"/>
        <w:ind w:left="0"/>
        <w:jc w:val="left"/>
      </w:pPr>
      <w:r>
        <w:rPr>
          <w:rFonts w:ascii="Arial" w:hAnsi="Arial" w:eastAsia="等线" w:cs="Arial"/>
          <w:sz w:val="22"/>
        </w:rPr>
        <w:t>1、无法保证全职在岗，长期脱岗、兼职参与工作，无法正常履行商学院岗位职责；</w:t>
      </w:r>
    </w:p>
    <w:p w14:paraId="0EFF452D">
      <w:pPr>
        <w:spacing w:before="120" w:after="120" w:line="288" w:lineRule="auto"/>
        <w:ind w:left="0"/>
        <w:jc w:val="left"/>
      </w:pPr>
      <w:r>
        <w:rPr>
          <w:rFonts w:ascii="Arial" w:hAnsi="Arial" w:eastAsia="等线" w:cs="Arial"/>
          <w:sz w:val="22"/>
        </w:rPr>
        <w:t>2、阶段性考核不合格，专业能力、工作态度无法适配岗位要求，经帮扶提升后仍不能胜任本职工作；</w:t>
      </w:r>
    </w:p>
    <w:p w14:paraId="1CDC8AB2">
      <w:pPr>
        <w:spacing w:before="120" w:after="120" w:line="288" w:lineRule="auto"/>
        <w:ind w:left="0"/>
        <w:jc w:val="left"/>
      </w:pPr>
      <w:r>
        <w:rPr>
          <w:rFonts w:ascii="Arial" w:hAnsi="Arial" w:eastAsia="等线" w:cs="Arial"/>
          <w:sz w:val="22"/>
        </w:rPr>
        <w:t>3、工作中出现重大过错、严重工作失误，对公司造成不可逆经济损失，或严重损害公司品牌名誉、市场口碑；</w:t>
      </w:r>
    </w:p>
    <w:p w14:paraId="093ED099">
      <w:pPr>
        <w:spacing w:before="120" w:after="120" w:line="288" w:lineRule="auto"/>
        <w:ind w:left="0"/>
        <w:jc w:val="left"/>
      </w:pPr>
      <w:r>
        <w:rPr>
          <w:rFonts w:ascii="Arial" w:hAnsi="Arial" w:eastAsia="等线" w:cs="Arial"/>
          <w:sz w:val="22"/>
        </w:rPr>
        <w:t>4、经公司与商学院院长联合商议，认定需退出的其他情形。</w:t>
      </w:r>
    </w:p>
    <w:p w14:paraId="5A0C04A2">
      <w:pPr>
        <w:spacing w:before="120" w:after="120" w:line="288" w:lineRule="auto"/>
        <w:ind w:left="0"/>
        <w:jc w:val="left"/>
      </w:pPr>
      <w:r>
        <w:rPr>
          <w:rFonts w:ascii="Arial" w:hAnsi="Arial" w:eastAsia="等线" w:cs="Arial"/>
          <w:sz w:val="22"/>
        </w:rPr>
        <w:t>第九条 退出后续约定</w:t>
      </w:r>
    </w:p>
    <w:p w14:paraId="03987EC8">
      <w:pPr>
        <w:spacing w:before="120" w:after="120" w:line="288" w:lineRule="auto"/>
        <w:ind w:left="0"/>
        <w:jc w:val="left"/>
      </w:pPr>
      <w:r>
        <w:rPr>
          <w:rFonts w:ascii="Arial" w:hAnsi="Arial" w:eastAsia="等线" w:cs="Arial"/>
          <w:sz w:val="22"/>
        </w:rPr>
        <w:t>人员正式确认退出商学院当日起，即刻终止其所有商学院相关岗位权益，不再享有商学院板块一切业绩分红、岗位奖励及相关福利，后续不再参与商学院工作统筹与权益分配。</w:t>
      </w:r>
    </w:p>
    <w:p w14:paraId="1C0775AD">
      <w:pPr>
        <w:spacing w:before="120" w:after="120" w:line="288" w:lineRule="auto"/>
        <w:ind w:left="0"/>
        <w:jc w:val="left"/>
      </w:pPr>
      <w:r>
        <w:rPr>
          <w:rFonts w:ascii="Arial" w:hAnsi="Arial" w:eastAsia="等线" w:cs="Arial"/>
          <w:sz w:val="22"/>
        </w:rPr>
        <w:t>第四章 商学院人员权益</w:t>
      </w:r>
    </w:p>
    <w:p w14:paraId="4A530DFD">
      <w:pPr>
        <w:spacing w:before="120" w:after="120" w:line="288" w:lineRule="auto"/>
        <w:ind w:left="0"/>
        <w:jc w:val="left"/>
      </w:pPr>
      <w:r>
        <w:rPr>
          <w:rFonts w:ascii="Arial" w:hAnsi="Arial" w:eastAsia="等线" w:cs="Arial"/>
          <w:sz w:val="22"/>
        </w:rPr>
        <w:t>第十条 基础薪资与保障权益</w:t>
      </w:r>
    </w:p>
    <w:p w14:paraId="68045B05">
      <w:pPr>
        <w:spacing w:before="120" w:after="120" w:line="288" w:lineRule="auto"/>
        <w:ind w:left="0"/>
        <w:jc w:val="left"/>
      </w:pPr>
      <w:r>
        <w:rPr>
          <w:rFonts w:ascii="Arial" w:hAnsi="Arial" w:eastAsia="等线" w:cs="Arial"/>
          <w:sz w:val="22"/>
        </w:rPr>
        <w:t>商学院在岗教职工薪资标准以双方签订的正式劳动合同为准，公司统一为在岗人员缴纳五险；入职需签订正式劳动合同及竞业协议，保障公司与员工双向合法权益。</w:t>
      </w:r>
    </w:p>
    <w:p w14:paraId="4588BB49">
      <w:pPr>
        <w:spacing w:before="120" w:after="120" w:line="288" w:lineRule="auto"/>
        <w:ind w:left="0"/>
        <w:jc w:val="left"/>
      </w:pPr>
      <w:r>
        <w:rPr>
          <w:rFonts w:ascii="Arial" w:hAnsi="Arial" w:eastAsia="等线" w:cs="Arial"/>
          <w:sz w:val="22"/>
        </w:rPr>
        <w:t>第十一条 市场业绩分红权益</w:t>
      </w:r>
    </w:p>
    <w:p w14:paraId="700A6B5E">
      <w:pPr>
        <w:spacing w:before="120" w:after="120" w:line="288" w:lineRule="auto"/>
        <w:ind w:left="0"/>
        <w:jc w:val="left"/>
      </w:pPr>
      <w:r>
        <w:rPr>
          <w:rFonts w:ascii="Arial" w:hAnsi="Arial" w:eastAsia="等线" w:cs="Arial"/>
          <w:sz w:val="22"/>
        </w:rPr>
        <w:t>商学院人员业绩分红与所服务市场总裁的月度业绩完成情况直接挂钩。商学院人员全程协助、配合市场总裁完成月度既定业绩目标，根据市场业绩达标情况核算对应分红提成，具体标准如下：</w:t>
      </w:r>
      <w:bookmarkStart w:id="0" w:name="_GoBack"/>
      <w:bookmarkEnd w:id="0"/>
    </w:p>
    <w:p w14:paraId="742236CB">
      <w:pPr>
        <w:spacing w:before="120" w:after="120" w:line="288" w:lineRule="auto"/>
        <w:ind w:left="0"/>
        <w:jc w:val="left"/>
      </w:pPr>
      <w:r>
        <w:rPr>
          <w:rFonts w:ascii="Arial" w:hAnsi="Arial" w:eastAsia="等线" w:cs="Arial"/>
          <w:sz w:val="22"/>
        </w:rPr>
        <w:t>1、当月未协助市场总裁达成既定业绩目标：按市场团队</w:t>
      </w:r>
      <w:r>
        <w:rPr>
          <w:rFonts w:ascii="Arial" w:hAnsi="Arial" w:eastAsia="等线" w:cs="Arial"/>
          <w:b/>
          <w:sz w:val="22"/>
        </w:rPr>
        <w:t>实际完成业绩总量的1%</w:t>
      </w:r>
      <w:r>
        <w:rPr>
          <w:rFonts w:ascii="Arial" w:hAnsi="Arial" w:eastAsia="等线" w:cs="Arial"/>
          <w:sz w:val="22"/>
        </w:rPr>
        <w:t>核算提成；</w:t>
      </w:r>
    </w:p>
    <w:p w14:paraId="781CAB1D">
      <w:pPr>
        <w:spacing w:before="120" w:after="120" w:line="288" w:lineRule="auto"/>
        <w:ind w:left="0"/>
        <w:jc w:val="left"/>
      </w:pPr>
      <w:r>
        <w:rPr>
          <w:rFonts w:ascii="Arial" w:hAnsi="Arial" w:eastAsia="等线" w:cs="Arial"/>
          <w:sz w:val="22"/>
        </w:rPr>
        <w:t>2、当月成功协助市场总裁足额达成既定业绩目标：按市场团队</w:t>
      </w:r>
      <w:r>
        <w:rPr>
          <w:rFonts w:ascii="Arial" w:hAnsi="Arial" w:eastAsia="等线" w:cs="Arial"/>
          <w:b/>
          <w:sz w:val="22"/>
        </w:rPr>
        <w:t>达标业绩总量的1.5%</w:t>
      </w:r>
      <w:r>
        <w:rPr>
          <w:rFonts w:ascii="Arial" w:hAnsi="Arial" w:eastAsia="等线" w:cs="Arial"/>
          <w:sz w:val="22"/>
        </w:rPr>
        <w:t>核算提成；</w:t>
      </w:r>
    </w:p>
    <w:p w14:paraId="4612FEEA">
      <w:pPr>
        <w:spacing w:before="120" w:after="120" w:line="288" w:lineRule="auto"/>
        <w:ind w:left="0"/>
        <w:jc w:val="left"/>
      </w:pPr>
      <w:r>
        <w:rPr>
          <w:rFonts w:ascii="Arial" w:hAnsi="Arial" w:eastAsia="等线" w:cs="Arial"/>
          <w:sz w:val="22"/>
        </w:rPr>
        <w:t>3、当月市场业绩超额完成：</w:t>
      </w:r>
      <w:r>
        <w:rPr>
          <w:rFonts w:ascii="Arial" w:hAnsi="Arial" w:eastAsia="等线" w:cs="Arial"/>
          <w:b/>
          <w:bCs/>
          <w:sz w:val="22"/>
        </w:rPr>
        <w:t>既定目标内的业绩部分按1.5%核算提成</w:t>
      </w:r>
      <w:r>
        <w:rPr>
          <w:rFonts w:ascii="Arial" w:hAnsi="Arial" w:eastAsia="等线" w:cs="Arial"/>
          <w:sz w:val="22"/>
        </w:rPr>
        <w:t>，</w:t>
      </w:r>
      <w:r>
        <w:rPr>
          <w:rFonts w:ascii="Arial" w:hAnsi="Arial" w:eastAsia="等线" w:cs="Arial"/>
          <w:b/>
          <w:sz w:val="22"/>
        </w:rPr>
        <w:t>超出月度目标的超额业绩部分按1.8%</w:t>
      </w:r>
      <w:r>
        <w:rPr>
          <w:rFonts w:ascii="Arial" w:hAnsi="Arial" w:eastAsia="等线" w:cs="Arial"/>
          <w:sz w:val="22"/>
        </w:rPr>
        <w:t>核算提成。</w:t>
      </w:r>
    </w:p>
    <w:p w14:paraId="283D750F">
      <w:pPr>
        <w:spacing w:before="120" w:after="120" w:line="288" w:lineRule="auto"/>
        <w:ind w:left="0"/>
        <w:jc w:val="left"/>
      </w:pPr>
      <w:r>
        <w:rPr>
          <w:rFonts w:ascii="Arial" w:hAnsi="Arial" w:eastAsia="等线" w:cs="Arial"/>
          <w:sz w:val="22"/>
        </w:rPr>
        <w:t>第五章 附则</w:t>
      </w:r>
    </w:p>
    <w:p w14:paraId="41BA1CE0">
      <w:pPr>
        <w:spacing w:before="120" w:after="120" w:line="288" w:lineRule="auto"/>
        <w:ind w:left="0"/>
        <w:jc w:val="left"/>
      </w:pPr>
      <w:r>
        <w:rPr>
          <w:rFonts w:ascii="Arial" w:hAnsi="Arial" w:eastAsia="等线" w:cs="Arial"/>
          <w:sz w:val="22"/>
        </w:rPr>
        <w:t>第十二条 本办法由浙江数昌科技有限公司商学院负责解释、修订与落地执行。</w:t>
      </w:r>
    </w:p>
    <w:p w14:paraId="68E17AD7">
      <w:pPr>
        <w:spacing w:before="120" w:after="120" w:line="288" w:lineRule="auto"/>
        <w:ind w:left="0"/>
        <w:jc w:val="left"/>
        <w:rPr>
          <w:rFonts w:ascii="Arial" w:hAnsi="Arial" w:eastAsia="等线" w:cs="Arial"/>
          <w:sz w:val="22"/>
        </w:rPr>
      </w:pPr>
      <w:r>
        <w:rPr>
          <w:rFonts w:ascii="Arial" w:hAnsi="Arial" w:eastAsia="等线" w:cs="Arial"/>
          <w:sz w:val="22"/>
        </w:rPr>
        <w:t>第十三条 本办法自发布之日起正式生效，原有相关规定与本办法不一致的，以本办法为准。</w:t>
      </w:r>
    </w:p>
    <w:p w14:paraId="4E819B07">
      <w:pPr>
        <w:spacing w:before="120" w:after="120" w:line="288" w:lineRule="auto"/>
        <w:ind w:left="0"/>
        <w:jc w:val="left"/>
        <w:rPr>
          <w:rFonts w:ascii="Arial" w:hAnsi="Arial" w:eastAsia="等线" w:cs="Arial"/>
          <w:sz w:val="22"/>
        </w:rPr>
      </w:pPr>
    </w:p>
    <w:p w14:paraId="23250120">
      <w:pPr>
        <w:spacing w:before="120" w:after="120" w:line="288" w:lineRule="auto"/>
        <w:ind w:left="0"/>
        <w:jc w:val="left"/>
        <w:rPr>
          <w:rFonts w:ascii="Arial" w:hAnsi="Arial" w:eastAsia="等线" w:cs="Arial"/>
          <w:sz w:val="22"/>
        </w:rPr>
      </w:pPr>
    </w:p>
    <w:p w14:paraId="7ADFD881">
      <w:pPr>
        <w:spacing w:before="120" w:after="120" w:line="288" w:lineRule="auto"/>
        <w:ind w:left="0"/>
        <w:jc w:val="right"/>
        <w:rPr>
          <w:rFonts w:hint="default" w:ascii="Arial" w:hAnsi="Arial" w:eastAsia="等线" w:cs="Arial"/>
          <w:sz w:val="22"/>
          <w:lang w:val="en-US" w:eastAsia="zh-CN"/>
        </w:rPr>
      </w:pPr>
      <w:r>
        <w:rPr>
          <w:rFonts w:hint="eastAsia" w:ascii="Arial" w:hAnsi="Arial" w:eastAsia="等线" w:cs="Arial"/>
          <w:sz w:val="22"/>
          <w:lang w:val="en-US" w:eastAsia="zh-CN"/>
        </w:rPr>
        <w:t>浙江数昌科技有限公司</w:t>
      </w:r>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A530B"/>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C49C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803E5"/>
    <w:rsid w:val="35386E11"/>
    <w:rsid w:val="43E434B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2334</Words>
  <Characters>2345</Characters>
  <TotalTime>4</TotalTime>
  <ScaleCrop>false</ScaleCrop>
  <LinksUpToDate>false</LinksUpToDate>
  <CharactersWithSpaces>2365</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2026-05-12T12:58:00Z</dcterms:created>
  <dc:creator>Apache POI</dc:creator>
  <cp:lastModifiedBy>Z、郭安</cp:lastModifiedBy>
  <dcterms:modified xsi:type="dcterms:W3CDTF">2026-05-12T13:03:42Z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eyJoZGlkIjoiZDg0YTc4OTFhODU4NDM2MzkyZDc5YjExYTgzODg2ODciLCJ1c2VySWQiOiIyMjQ4Nzk0OTYifQ==</vt:lpwstr>
  </property>
  <property fmtid="{D5CDD505-2E9C-101B-9397-08002B2CF9AE}" pid="3" name="KSOProductBuildVer">
    <vt:lpwstr>2052-12.1.0.25865</vt:lpwstr>
  </property>
  <property fmtid="{D5CDD505-2E9C-101B-9397-08002B2CF9AE}" pid="4" name="ICV">
    <vt:lpwstr>5CC99229BC6847F4BFBC0148C6C246D5_13</vt:lpwstr>
  </property>
</Properties>
</file>